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03335" w14:textId="77777777" w:rsidR="00545772" w:rsidRDefault="00545772" w:rsidP="00545772">
      <w:pPr>
        <w:spacing w:line="480" w:lineRule="auto"/>
        <w:jc w:val="center"/>
        <w:rPr>
          <w:rFonts w:ascii="Times New Roman" w:hAnsi="Times New Roman" w:cs="Times New Roman"/>
          <w:bCs/>
          <w:sz w:val="24"/>
          <w:szCs w:val="24"/>
        </w:rPr>
      </w:pPr>
    </w:p>
    <w:p w14:paraId="5BA15791" w14:textId="77777777" w:rsidR="00545772" w:rsidRDefault="00545772" w:rsidP="00545772">
      <w:pPr>
        <w:spacing w:line="480" w:lineRule="auto"/>
        <w:jc w:val="center"/>
        <w:rPr>
          <w:rFonts w:ascii="Times New Roman" w:hAnsi="Times New Roman" w:cs="Times New Roman"/>
          <w:bCs/>
          <w:sz w:val="24"/>
          <w:szCs w:val="24"/>
        </w:rPr>
      </w:pPr>
    </w:p>
    <w:p w14:paraId="0DF1965E" w14:textId="77777777" w:rsidR="00545772" w:rsidRDefault="00545772" w:rsidP="00545772">
      <w:pPr>
        <w:spacing w:line="480" w:lineRule="auto"/>
        <w:jc w:val="center"/>
        <w:rPr>
          <w:rFonts w:ascii="Times New Roman" w:hAnsi="Times New Roman" w:cs="Times New Roman"/>
          <w:bCs/>
          <w:sz w:val="24"/>
          <w:szCs w:val="24"/>
        </w:rPr>
      </w:pPr>
    </w:p>
    <w:p w14:paraId="06CF6F51" w14:textId="14AB6294" w:rsidR="00413E59" w:rsidRPr="00114039" w:rsidRDefault="00413E59" w:rsidP="00545772">
      <w:pPr>
        <w:spacing w:line="480" w:lineRule="auto"/>
        <w:jc w:val="center"/>
        <w:rPr>
          <w:rFonts w:ascii="Times New Roman" w:hAnsi="Times New Roman" w:cs="Times New Roman"/>
          <w:b/>
          <w:sz w:val="24"/>
          <w:szCs w:val="24"/>
        </w:rPr>
      </w:pPr>
      <w:r w:rsidRPr="00114039">
        <w:rPr>
          <w:rFonts w:ascii="Times New Roman" w:hAnsi="Times New Roman" w:cs="Times New Roman"/>
          <w:b/>
          <w:sz w:val="24"/>
          <w:szCs w:val="24"/>
        </w:rPr>
        <w:t>Teaching and Advocacy Plan Developed from Patient Interview</w:t>
      </w:r>
    </w:p>
    <w:p w14:paraId="42F4A849" w14:textId="77777777" w:rsidR="007A7EB7" w:rsidRDefault="007A7EB7" w:rsidP="0066401F">
      <w:pPr>
        <w:spacing w:line="480" w:lineRule="auto"/>
        <w:jc w:val="center"/>
        <w:rPr>
          <w:rFonts w:ascii="Times New Roman" w:hAnsi="Times New Roman" w:cs="Times New Roman"/>
          <w:bCs/>
          <w:sz w:val="24"/>
          <w:szCs w:val="24"/>
        </w:rPr>
      </w:pPr>
    </w:p>
    <w:p w14:paraId="65B4DCAE" w14:textId="3EE8CC4A" w:rsidR="0066401F" w:rsidRPr="0066401F" w:rsidRDefault="0066401F" w:rsidP="0066401F">
      <w:pPr>
        <w:spacing w:line="480" w:lineRule="auto"/>
        <w:jc w:val="center"/>
        <w:rPr>
          <w:rFonts w:ascii="Times New Roman" w:hAnsi="Times New Roman" w:cs="Times New Roman"/>
          <w:bCs/>
          <w:sz w:val="24"/>
          <w:szCs w:val="24"/>
        </w:rPr>
      </w:pPr>
      <w:r w:rsidRPr="0066401F">
        <w:rPr>
          <w:rFonts w:ascii="Times New Roman" w:hAnsi="Times New Roman" w:cs="Times New Roman"/>
          <w:bCs/>
          <w:sz w:val="24"/>
          <w:szCs w:val="24"/>
        </w:rPr>
        <w:t>Student’s Name</w:t>
      </w:r>
    </w:p>
    <w:p w14:paraId="6682FA8A" w14:textId="77777777" w:rsidR="0066401F" w:rsidRPr="0066401F" w:rsidRDefault="0066401F" w:rsidP="0066401F">
      <w:pPr>
        <w:spacing w:line="480" w:lineRule="auto"/>
        <w:jc w:val="center"/>
        <w:rPr>
          <w:rFonts w:ascii="Times New Roman" w:hAnsi="Times New Roman" w:cs="Times New Roman"/>
          <w:bCs/>
          <w:sz w:val="24"/>
          <w:szCs w:val="24"/>
        </w:rPr>
      </w:pPr>
      <w:r w:rsidRPr="0066401F">
        <w:rPr>
          <w:rFonts w:ascii="Times New Roman" w:hAnsi="Times New Roman" w:cs="Times New Roman"/>
          <w:bCs/>
          <w:sz w:val="24"/>
          <w:szCs w:val="24"/>
        </w:rPr>
        <w:t>The Department, University</w:t>
      </w:r>
    </w:p>
    <w:p w14:paraId="49D27F96" w14:textId="77777777" w:rsidR="0066401F" w:rsidRPr="0066401F" w:rsidRDefault="0066401F" w:rsidP="0066401F">
      <w:pPr>
        <w:spacing w:line="480" w:lineRule="auto"/>
        <w:jc w:val="center"/>
        <w:rPr>
          <w:rFonts w:ascii="Times New Roman" w:hAnsi="Times New Roman" w:cs="Times New Roman"/>
          <w:bCs/>
          <w:sz w:val="24"/>
          <w:szCs w:val="24"/>
        </w:rPr>
      </w:pPr>
      <w:r w:rsidRPr="0066401F">
        <w:rPr>
          <w:rFonts w:ascii="Times New Roman" w:hAnsi="Times New Roman" w:cs="Times New Roman"/>
          <w:bCs/>
          <w:sz w:val="24"/>
          <w:szCs w:val="24"/>
        </w:rPr>
        <w:t>Course Code: Year of Study</w:t>
      </w:r>
    </w:p>
    <w:p w14:paraId="2B757635" w14:textId="77777777" w:rsidR="0066401F" w:rsidRPr="0066401F" w:rsidRDefault="0066401F" w:rsidP="0066401F">
      <w:pPr>
        <w:spacing w:line="480" w:lineRule="auto"/>
        <w:jc w:val="center"/>
        <w:rPr>
          <w:rFonts w:ascii="Times New Roman" w:hAnsi="Times New Roman" w:cs="Times New Roman"/>
          <w:bCs/>
          <w:sz w:val="24"/>
          <w:szCs w:val="24"/>
        </w:rPr>
      </w:pPr>
      <w:r w:rsidRPr="0066401F">
        <w:rPr>
          <w:rFonts w:ascii="Times New Roman" w:hAnsi="Times New Roman" w:cs="Times New Roman"/>
          <w:bCs/>
          <w:sz w:val="24"/>
          <w:szCs w:val="24"/>
        </w:rPr>
        <w:t>Professor’s Name</w:t>
      </w:r>
    </w:p>
    <w:p w14:paraId="5148CACC" w14:textId="4EF818A2" w:rsidR="00413E59" w:rsidRDefault="0066401F" w:rsidP="0066401F">
      <w:pPr>
        <w:spacing w:line="480" w:lineRule="auto"/>
        <w:jc w:val="center"/>
        <w:rPr>
          <w:rFonts w:ascii="Times New Roman" w:hAnsi="Times New Roman" w:cs="Times New Roman"/>
          <w:bCs/>
          <w:sz w:val="24"/>
          <w:szCs w:val="24"/>
        </w:rPr>
      </w:pPr>
      <w:r w:rsidRPr="0066401F">
        <w:rPr>
          <w:rFonts w:ascii="Times New Roman" w:hAnsi="Times New Roman" w:cs="Times New Roman"/>
          <w:bCs/>
          <w:sz w:val="24"/>
          <w:szCs w:val="24"/>
        </w:rPr>
        <w:t>Date of Submission</w:t>
      </w:r>
    </w:p>
    <w:p w14:paraId="0973DFF1" w14:textId="77777777" w:rsidR="00545772" w:rsidRDefault="00545772" w:rsidP="00545772">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07C503DE" w14:textId="40D3691A" w:rsidR="000447FE" w:rsidRPr="0053080A" w:rsidRDefault="00413E59" w:rsidP="00545772">
      <w:pPr>
        <w:spacing w:line="480" w:lineRule="auto"/>
        <w:jc w:val="center"/>
        <w:rPr>
          <w:rFonts w:ascii="Times New Roman" w:hAnsi="Times New Roman" w:cs="Times New Roman"/>
          <w:b/>
          <w:sz w:val="24"/>
          <w:szCs w:val="24"/>
        </w:rPr>
      </w:pPr>
      <w:r w:rsidRPr="0053080A">
        <w:rPr>
          <w:rFonts w:ascii="Times New Roman" w:hAnsi="Times New Roman" w:cs="Times New Roman"/>
          <w:b/>
          <w:sz w:val="24"/>
          <w:szCs w:val="24"/>
        </w:rPr>
        <w:lastRenderedPageBreak/>
        <w:t>Teaching and Advocacy Plan Developed from Patient Interview</w:t>
      </w:r>
    </w:p>
    <w:p w14:paraId="412B8F4D"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Introduction</w:t>
      </w:r>
    </w:p>
    <w:p w14:paraId="490FF025" w14:textId="77777777"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Stroke can be one of the most life-changing conditions. In the clinical setting, it is important to provide patient education regarding their condition through an appropriate teaching plan. This paper describes the teaching plan for a patient with a stroke.</w:t>
      </w:r>
    </w:p>
    <w:p w14:paraId="4ADBD83D"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Assessment of the Learner and Knowledge Deficit</w:t>
      </w:r>
    </w:p>
    <w:p w14:paraId="74945E0C" w14:textId="0A3C1CAF"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 xml:space="preserve">In this case, the patient is a 35-year-old African American female. Furthermore, she has completed her college education and is a Christian. As such, she is from a religious culture where their Christian beliefs affect their day-to-day lives. Additionally, she lives in a predominantly African American society that had limited social diversity. </w:t>
      </w:r>
      <w:r w:rsidR="00B23BDA">
        <w:rPr>
          <w:rFonts w:ascii="Times New Roman" w:hAnsi="Times New Roman" w:cs="Times New Roman"/>
          <w:sz w:val="24"/>
          <w:szCs w:val="24"/>
        </w:rPr>
        <w:t>The stroke has also</w:t>
      </w:r>
      <w:r w:rsidRPr="00413E59">
        <w:rPr>
          <w:rFonts w:ascii="Times New Roman" w:hAnsi="Times New Roman" w:cs="Times New Roman"/>
          <w:sz w:val="24"/>
          <w:szCs w:val="24"/>
        </w:rPr>
        <w:t xml:space="preserve"> partially affected her ability to perform several tasks since she experienced right-sided numbness and weakness. Nonetheless, she was eager to learn more about her condition to better understand how to manage the recovery. She explained that she preferred audio</w:t>
      </w:r>
      <w:r w:rsidR="00B23BDA">
        <w:rPr>
          <w:rFonts w:ascii="Times New Roman" w:hAnsi="Times New Roman" w:cs="Times New Roman"/>
          <w:sz w:val="24"/>
          <w:szCs w:val="24"/>
        </w:rPr>
        <w:t>-</w:t>
      </w:r>
      <w:r w:rsidRPr="00413E59">
        <w:rPr>
          <w:rFonts w:ascii="Times New Roman" w:hAnsi="Times New Roman" w:cs="Times New Roman"/>
          <w:sz w:val="24"/>
          <w:szCs w:val="24"/>
        </w:rPr>
        <w:t>visual methods of learning such as videos as opposed to purely visual methods such as pictures. Also, she stated that she benefited more from written material than demonstrations. However, the patient exhibited a knowledge deficit in the treatment alternatives for stroke, as well as the complications that may arise due to stroke. Also, she knew little concerning the stroke recovery process and factors that may enhance or worsen it. I will focus more on this deficit because the knowledge on the recovery process determines the patient’s expectations regarding her recovery. Also, her knowledge of stroke treatment affects her perception concerning the effectiveness of the treatment process.</w:t>
      </w:r>
    </w:p>
    <w:p w14:paraId="3EB55C1A"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Measurable Learning Outcomes</w:t>
      </w:r>
    </w:p>
    <w:p w14:paraId="47BF7829" w14:textId="3F2523B1"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 xml:space="preserve">The main goal of the teaching-learning session will be to increase the patient’s knowledge regarding the stroke recovery process as well as the possible complications. Also, </w:t>
      </w:r>
      <w:r w:rsidRPr="00413E59">
        <w:rPr>
          <w:rFonts w:ascii="Times New Roman" w:hAnsi="Times New Roman" w:cs="Times New Roman"/>
          <w:sz w:val="24"/>
          <w:szCs w:val="24"/>
        </w:rPr>
        <w:lastRenderedPageBreak/>
        <w:t>the teaching session is aimed at increasing her confidence in her knowledge of stroke. Therefore, the session will also aim to alter some of her perceptions and practices regarding the management of her condition. To measure whether the goals of the teaching session are met, the first criteria to be assessed will be the knowledge acquired by the patient regarding stroke recovery. As such, I will compare the patient’s knowledge regarding stroke recovery before and after the session. In this, I will use a questionnaire containing questions about the stroke recovery process. This is because questionnaires are relatively quick to complete, economical, and usually easy to analyze (Arora et al</w:t>
      </w:r>
      <w:r w:rsidR="00B23BDA">
        <w:rPr>
          <w:rFonts w:ascii="Times New Roman" w:hAnsi="Times New Roman" w:cs="Times New Roman"/>
          <w:sz w:val="24"/>
          <w:szCs w:val="24"/>
        </w:rPr>
        <w:t>.</w:t>
      </w:r>
      <w:r w:rsidRPr="00413E59">
        <w:rPr>
          <w:rFonts w:ascii="Times New Roman" w:hAnsi="Times New Roman" w:cs="Times New Roman"/>
          <w:sz w:val="24"/>
          <w:szCs w:val="24"/>
        </w:rPr>
        <w:t>, 2017). Additionally, questionnaires in a medical setting can help me identify the areas to be improved upon for better learning (Arora et al, 2017).</w:t>
      </w:r>
    </w:p>
    <w:p w14:paraId="543D2EFF" w14:textId="79B2AAE0"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The second criteria that I will assess will be the patient</w:t>
      </w:r>
      <w:r w:rsidR="00B23BDA">
        <w:rPr>
          <w:rFonts w:ascii="Times New Roman" w:hAnsi="Times New Roman" w:cs="Times New Roman"/>
          <w:sz w:val="24"/>
          <w:szCs w:val="24"/>
        </w:rPr>
        <w:t>’</w:t>
      </w:r>
      <w:r w:rsidRPr="00413E59">
        <w:rPr>
          <w:rFonts w:ascii="Times New Roman" w:hAnsi="Times New Roman" w:cs="Times New Roman"/>
          <w:sz w:val="24"/>
          <w:szCs w:val="24"/>
        </w:rPr>
        <w:t>s knowledge of the complications of a stroke. In this, I will give the patient a cognitive test after the learning session measuring her knowledge of various stroke complications (Worral, 2018). Nonetheless, the evaluation questions will be carefully considered and clearly stated because they dictate the basic framework for design and conduct (Worral, 2018). Lastly, I will measure the patient’s ability to explain what she had learned to someone else. I will also ask the patient to give a return demonstration which will help me determine her accuracy in demonstrating a skill that she was to learn (Worral, 2018). This is a type of outcome evaluation that measures the changes due to the learning session. Some of these changes include the institution of a new process, habitual use of a new technique or behavior, or integration of a new value or attitude regarding stroke (Worral, 2018).</w:t>
      </w:r>
    </w:p>
    <w:p w14:paraId="075B61FD"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Content</w:t>
      </w:r>
    </w:p>
    <w:p w14:paraId="3292AFD9" w14:textId="77777777"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 xml:space="preserve">The content of my teaching will primarily entail the treatment and recovery process of stroke. For starters, I will inform the patient on practices that enhance or negatively affect the </w:t>
      </w:r>
      <w:r w:rsidRPr="00413E59">
        <w:rPr>
          <w:rFonts w:ascii="Times New Roman" w:hAnsi="Times New Roman" w:cs="Times New Roman"/>
          <w:sz w:val="24"/>
          <w:szCs w:val="24"/>
        </w:rPr>
        <w:lastRenderedPageBreak/>
        <w:t>stroke recovery process. This is important since it informs her of the strategies that can reduce the risk of getting a secondary stroke (Hoffmann &amp; Cochrane, 2009). Additionally, it will help the patient prevent further strokes (Hoffmann &amp; Cochrane, 2009). Also, knowing the practices that can prevent stroke reduce anxiety and empower the patient by giving her a sense of control in her life (Hoffmann &amp; Cochrane, 2009). Furthermore, my teaching content will inform her of the importance of post-discharge support groups. This is because support groups have been associated with fewer depressive symptoms among stroke patients (Hoffmann &amp; Cochrane, 2009). Also, informing the patient of the stroke treatment alternatives will help her determine the one she prefers. Since the patient showed a preference for audio-visual learning and printed materials, I will primarily use videos and written material. The videos will describe the stroke recovery process. Also, the written material will mainly consist of brochures and magazines on stroke recovery and treatment. Written materials provide consistency of information, aid recall, and can be referred to when required (Hoffmann &amp; Cochrane, 2009).</w:t>
      </w:r>
    </w:p>
    <w:p w14:paraId="1FD49240"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Concerns</w:t>
      </w:r>
    </w:p>
    <w:p w14:paraId="707200CC" w14:textId="6E7FCF08" w:rsidR="005910A5" w:rsidRDefault="00ED026A" w:rsidP="005457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patient was primarily concerned about the complications that could accompany her condition. </w:t>
      </w:r>
      <w:r w:rsidR="00764ABD">
        <w:rPr>
          <w:rFonts w:ascii="Times New Roman" w:hAnsi="Times New Roman" w:cs="Times New Roman"/>
          <w:sz w:val="24"/>
          <w:szCs w:val="24"/>
        </w:rPr>
        <w:t xml:space="preserve">Stroke is associated with multiple complications, some of which include vascular defects such as Deep Vein Thrombosis. Furthermore, the neural complications could lead to temporary or even permanent disability. Such disabilities mainly resulted from immobility, </w:t>
      </w:r>
      <w:r w:rsidR="00764ABD" w:rsidRPr="00764ABD">
        <w:rPr>
          <w:rFonts w:ascii="Times New Roman" w:hAnsi="Times New Roman" w:cs="Times New Roman"/>
          <w:sz w:val="24"/>
          <w:szCs w:val="24"/>
        </w:rPr>
        <w:t xml:space="preserve">which accounts for up to 51% of deaths in the first 30 days after ischemic stroke </w:t>
      </w:r>
      <w:r w:rsidR="005910A5">
        <w:rPr>
          <w:rFonts w:ascii="Times New Roman" w:hAnsi="Times New Roman" w:cs="Times New Roman"/>
          <w:sz w:val="24"/>
          <w:szCs w:val="24"/>
        </w:rPr>
        <w:t>(Rymer &amp; Summers,</w:t>
      </w:r>
      <w:r w:rsidR="00764ABD">
        <w:rPr>
          <w:rFonts w:ascii="Times New Roman" w:hAnsi="Times New Roman" w:cs="Times New Roman"/>
          <w:sz w:val="24"/>
          <w:szCs w:val="24"/>
        </w:rPr>
        <w:t xml:space="preserve"> 2010). </w:t>
      </w:r>
      <w:r w:rsidR="00764ABD" w:rsidRPr="00764ABD">
        <w:rPr>
          <w:rFonts w:ascii="Times New Roman" w:hAnsi="Times New Roman" w:cs="Times New Roman"/>
          <w:sz w:val="24"/>
          <w:szCs w:val="24"/>
        </w:rPr>
        <w:t>She</w:t>
      </w:r>
      <w:r w:rsidR="00764ABD">
        <w:rPr>
          <w:rFonts w:ascii="Times New Roman" w:hAnsi="Times New Roman" w:cs="Times New Roman"/>
          <w:sz w:val="24"/>
          <w:szCs w:val="24"/>
        </w:rPr>
        <w:t xml:space="preserve"> specifically stated that the possibility of acquiring a disability was her biggest fear. In this, she was concerned </w:t>
      </w:r>
      <w:r w:rsidR="005910A5">
        <w:rPr>
          <w:rFonts w:ascii="Times New Roman" w:hAnsi="Times New Roman" w:cs="Times New Roman"/>
          <w:sz w:val="24"/>
          <w:szCs w:val="24"/>
        </w:rPr>
        <w:t>that a disability would greatly affect her ability to perform normal mundane everyday tasks.</w:t>
      </w:r>
    </w:p>
    <w:p w14:paraId="397D7CE2"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Nursing Theory</w:t>
      </w:r>
    </w:p>
    <w:p w14:paraId="737F6BB0" w14:textId="6EB4649B"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lastRenderedPageBreak/>
        <w:t>To address the patients’ concerns, the Adaptation model could be used. In this model, nursing is viewed as a scientific and humanistic profession whose aim is to increase compliance and life expectancy (Ursavaş et al</w:t>
      </w:r>
      <w:r w:rsidR="00AC18D3">
        <w:rPr>
          <w:rFonts w:ascii="Times New Roman" w:hAnsi="Times New Roman" w:cs="Times New Roman"/>
          <w:sz w:val="24"/>
          <w:szCs w:val="24"/>
        </w:rPr>
        <w:t>.</w:t>
      </w:r>
      <w:r w:rsidRPr="00413E59">
        <w:rPr>
          <w:rFonts w:ascii="Times New Roman" w:hAnsi="Times New Roman" w:cs="Times New Roman"/>
          <w:sz w:val="24"/>
          <w:szCs w:val="24"/>
        </w:rPr>
        <w:t>, 2014). As such, the model evaluates the patient in physiologic mode, self-concept mode, role function mode, and interdependence mode aiming to provide holistic care (Ursavaş et al</w:t>
      </w:r>
      <w:r w:rsidR="00AC18D3">
        <w:rPr>
          <w:rFonts w:ascii="Times New Roman" w:hAnsi="Times New Roman" w:cs="Times New Roman"/>
          <w:sz w:val="24"/>
          <w:szCs w:val="24"/>
        </w:rPr>
        <w:t>.</w:t>
      </w:r>
      <w:r w:rsidRPr="00413E59">
        <w:rPr>
          <w:rFonts w:ascii="Times New Roman" w:hAnsi="Times New Roman" w:cs="Times New Roman"/>
          <w:sz w:val="24"/>
          <w:szCs w:val="24"/>
        </w:rPr>
        <w:t>, 2014). More specifically, the physiologic mode provides the answers to the person regarding their physiologic body functions, while the self-concept mode addresses the individual’s beliefs and feelings about himself or others (Ursavaş et al</w:t>
      </w:r>
      <w:r w:rsidR="00AC18D3">
        <w:rPr>
          <w:rFonts w:ascii="Times New Roman" w:hAnsi="Times New Roman" w:cs="Times New Roman"/>
          <w:sz w:val="24"/>
          <w:szCs w:val="24"/>
        </w:rPr>
        <w:t>.</w:t>
      </w:r>
      <w:r w:rsidRPr="00413E59">
        <w:rPr>
          <w:rFonts w:ascii="Times New Roman" w:hAnsi="Times New Roman" w:cs="Times New Roman"/>
          <w:sz w:val="24"/>
          <w:szCs w:val="24"/>
        </w:rPr>
        <w:t>, 2014). The role function mode relates to the individual’s role in society such as gender or family roles. Lastly, the interdependence model addresses the relationships with others that are meaningful to the person and support systems (Ursavaş et al</w:t>
      </w:r>
      <w:r w:rsidR="00AC18D3">
        <w:rPr>
          <w:rFonts w:ascii="Times New Roman" w:hAnsi="Times New Roman" w:cs="Times New Roman"/>
          <w:sz w:val="24"/>
          <w:szCs w:val="24"/>
        </w:rPr>
        <w:t>.</w:t>
      </w:r>
      <w:r w:rsidRPr="00413E59">
        <w:rPr>
          <w:rFonts w:ascii="Times New Roman" w:hAnsi="Times New Roman" w:cs="Times New Roman"/>
          <w:sz w:val="24"/>
          <w:szCs w:val="24"/>
        </w:rPr>
        <w:t>, 2014). Using this theory, I will fulfill the physiologic mode by describing to the patient how the complications of stroke arise, and what the treatment does to her body as well as the affordability of the treatment. Regarding the self-concept mode, I will help the patient to develop a positive self-image despite her condition and assure her that the probability of full recovery is reasonably high. Also, I will provide the patient with the details of a suitable support group to encourage her to join one and advise her to create meaningful connections with the important people in her life. This will fulfill the interdependence mode in the Adaptation model of nursing.</w:t>
      </w:r>
    </w:p>
    <w:p w14:paraId="444FD6E0"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Conclusion</w:t>
      </w:r>
    </w:p>
    <w:p w14:paraId="23D8157C" w14:textId="77777777"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Educating the patient on her condition will be essential to her recovery by increasing her readiness for the recovery and treatment process. Additionally, it will help her understand how to prevent secondary strokes in the future. Ultimately, it will help her feel useful to the community despite her condition by changing her perception of stroke.</w:t>
      </w:r>
    </w:p>
    <w:p w14:paraId="64AA8D43" w14:textId="77777777" w:rsidR="00545772" w:rsidRDefault="00545772" w:rsidP="00545772">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320F8F2A" w14:textId="14DFB189" w:rsidR="000447FE" w:rsidRDefault="00413E59" w:rsidP="00545772">
      <w:pPr>
        <w:spacing w:line="480" w:lineRule="auto"/>
        <w:jc w:val="center"/>
        <w:rPr>
          <w:rFonts w:ascii="Times New Roman" w:hAnsi="Times New Roman" w:cs="Times New Roman"/>
          <w:bCs/>
          <w:sz w:val="24"/>
          <w:szCs w:val="24"/>
        </w:rPr>
      </w:pPr>
      <w:r w:rsidRPr="00413E59">
        <w:rPr>
          <w:rFonts w:ascii="Times New Roman" w:hAnsi="Times New Roman" w:cs="Times New Roman"/>
          <w:bCs/>
          <w:sz w:val="24"/>
          <w:szCs w:val="24"/>
        </w:rPr>
        <w:lastRenderedPageBreak/>
        <w:t>References</w:t>
      </w:r>
    </w:p>
    <w:p w14:paraId="453CAEA1" w14:textId="5551F60C" w:rsidR="00D80293" w:rsidRDefault="00D80293" w:rsidP="00545772">
      <w:pPr>
        <w:spacing w:line="480" w:lineRule="auto"/>
        <w:ind w:left="720" w:hanging="720"/>
        <w:rPr>
          <w:rFonts w:ascii="Times New Roman" w:hAnsi="Times New Roman" w:cs="Times New Roman"/>
          <w:sz w:val="24"/>
          <w:szCs w:val="24"/>
        </w:rPr>
      </w:pPr>
      <w:r w:rsidRPr="00413E59">
        <w:rPr>
          <w:rFonts w:ascii="Times New Roman" w:hAnsi="Times New Roman" w:cs="Times New Roman"/>
          <w:sz w:val="24"/>
          <w:szCs w:val="24"/>
        </w:rPr>
        <w:t xml:space="preserve">Arora, C., Sinha, B., Malhotra, A., &amp; Ranjan, P. (2017). Development and Validation of Health Education Tools and Evaluation Questionnaires for Improving Patient Care in Lifestyle Related </w:t>
      </w:r>
      <w:r w:rsidR="00AC18D3" w:rsidRPr="00413E59">
        <w:rPr>
          <w:rFonts w:ascii="Times New Roman" w:hAnsi="Times New Roman" w:cs="Times New Roman"/>
          <w:sz w:val="24"/>
          <w:szCs w:val="24"/>
        </w:rPr>
        <w:t>diseases</w:t>
      </w:r>
      <w:r w:rsidRPr="00413E59">
        <w:rPr>
          <w:rFonts w:ascii="Times New Roman" w:hAnsi="Times New Roman" w:cs="Times New Roman"/>
          <w:sz w:val="24"/>
          <w:szCs w:val="24"/>
        </w:rPr>
        <w:t>. </w:t>
      </w:r>
      <w:r w:rsidRPr="00413E59">
        <w:rPr>
          <w:rFonts w:ascii="Times New Roman" w:hAnsi="Times New Roman" w:cs="Times New Roman"/>
          <w:i/>
          <w:iCs/>
          <w:sz w:val="24"/>
          <w:szCs w:val="24"/>
        </w:rPr>
        <w:t>Journal of clinical and diagnostic research: JCDR</w:t>
      </w:r>
      <w:r w:rsidRPr="00413E59">
        <w:rPr>
          <w:rFonts w:ascii="Times New Roman" w:hAnsi="Times New Roman" w:cs="Times New Roman"/>
          <w:sz w:val="24"/>
          <w:szCs w:val="24"/>
        </w:rPr>
        <w:t>, </w:t>
      </w:r>
      <w:r w:rsidRPr="00413E59">
        <w:rPr>
          <w:rFonts w:ascii="Times New Roman" w:hAnsi="Times New Roman" w:cs="Times New Roman"/>
          <w:i/>
          <w:iCs/>
          <w:sz w:val="24"/>
          <w:szCs w:val="24"/>
        </w:rPr>
        <w:t>11</w:t>
      </w:r>
      <w:r w:rsidRPr="00413E59">
        <w:rPr>
          <w:rFonts w:ascii="Times New Roman" w:hAnsi="Times New Roman" w:cs="Times New Roman"/>
          <w:sz w:val="24"/>
          <w:szCs w:val="24"/>
        </w:rPr>
        <w:t>(5), JE06</w:t>
      </w:r>
      <w:r>
        <w:rPr>
          <w:rFonts w:ascii="Times New Roman" w:hAnsi="Times New Roman" w:cs="Times New Roman"/>
          <w:sz w:val="24"/>
          <w:szCs w:val="24"/>
        </w:rPr>
        <w:t>-</w:t>
      </w:r>
      <w:r w:rsidRPr="00413E59">
        <w:rPr>
          <w:rFonts w:ascii="Times New Roman" w:hAnsi="Times New Roman" w:cs="Times New Roman"/>
          <w:sz w:val="24"/>
          <w:szCs w:val="24"/>
        </w:rPr>
        <w:t xml:space="preserve">JE09. </w:t>
      </w:r>
      <w:hyperlink r:id="rId6" w:history="1">
        <w:r w:rsidRPr="00413E59">
          <w:rPr>
            <w:rStyle w:val="Hyperlink"/>
            <w:rFonts w:ascii="Times New Roman" w:hAnsi="Times New Roman" w:cs="Times New Roman"/>
            <w:sz w:val="24"/>
            <w:szCs w:val="24"/>
          </w:rPr>
          <w:t>https://doi.org/10.7860/JCDR/2017/28197.9946</w:t>
        </w:r>
      </w:hyperlink>
    </w:p>
    <w:p w14:paraId="44042F0E" w14:textId="77777777" w:rsidR="00D80293" w:rsidRDefault="00D80293" w:rsidP="00545772">
      <w:pPr>
        <w:spacing w:line="480" w:lineRule="auto"/>
        <w:ind w:left="720" w:hanging="720"/>
        <w:rPr>
          <w:rFonts w:ascii="Times New Roman" w:hAnsi="Times New Roman" w:cs="Times New Roman"/>
          <w:sz w:val="24"/>
          <w:szCs w:val="24"/>
        </w:rPr>
      </w:pPr>
      <w:r w:rsidRPr="00413E59">
        <w:rPr>
          <w:rFonts w:ascii="Times New Roman" w:hAnsi="Times New Roman" w:cs="Times New Roman"/>
          <w:sz w:val="24"/>
          <w:szCs w:val="24"/>
        </w:rPr>
        <w:t>Hoffmann, T., &amp; Cochrane, T. (2009). What education do stroke patients receive in Australian hospitals?. </w:t>
      </w:r>
      <w:r w:rsidRPr="00413E59">
        <w:rPr>
          <w:rFonts w:ascii="Times New Roman" w:hAnsi="Times New Roman" w:cs="Times New Roman"/>
          <w:i/>
          <w:iCs/>
          <w:sz w:val="24"/>
          <w:szCs w:val="24"/>
        </w:rPr>
        <w:t>Patient education and counseling</w:t>
      </w:r>
      <w:r w:rsidRPr="00413E59">
        <w:rPr>
          <w:rFonts w:ascii="Times New Roman" w:hAnsi="Times New Roman" w:cs="Times New Roman"/>
          <w:sz w:val="24"/>
          <w:szCs w:val="24"/>
        </w:rPr>
        <w:t>, </w:t>
      </w:r>
      <w:r w:rsidRPr="00413E59">
        <w:rPr>
          <w:rFonts w:ascii="Times New Roman" w:hAnsi="Times New Roman" w:cs="Times New Roman"/>
          <w:i/>
          <w:iCs/>
          <w:sz w:val="24"/>
          <w:szCs w:val="24"/>
        </w:rPr>
        <w:t>77</w:t>
      </w:r>
      <w:r w:rsidRPr="00413E59">
        <w:rPr>
          <w:rFonts w:ascii="Times New Roman" w:hAnsi="Times New Roman" w:cs="Times New Roman"/>
          <w:sz w:val="24"/>
          <w:szCs w:val="24"/>
        </w:rPr>
        <w:t>(2), 187-191.</w:t>
      </w:r>
    </w:p>
    <w:p w14:paraId="6E1E4C80" w14:textId="7AA8B28E" w:rsidR="005910A5" w:rsidRPr="005910A5" w:rsidRDefault="005910A5" w:rsidP="00545772">
      <w:pPr>
        <w:spacing w:line="480" w:lineRule="auto"/>
        <w:ind w:left="720" w:hanging="720"/>
        <w:rPr>
          <w:rFonts w:ascii="Times New Roman" w:hAnsi="Times New Roman" w:cs="Times New Roman"/>
          <w:sz w:val="24"/>
          <w:szCs w:val="24"/>
        </w:rPr>
      </w:pPr>
      <w:r w:rsidRPr="005910A5">
        <w:rPr>
          <w:rFonts w:ascii="Times New Roman" w:hAnsi="Times New Roman" w:cs="Times New Roman"/>
          <w:color w:val="303030"/>
          <w:sz w:val="24"/>
          <w:szCs w:val="24"/>
          <w:shd w:val="clear" w:color="auto" w:fill="FFFFFF"/>
        </w:rPr>
        <w:t>Rymer, M. M., &amp; Summers, D. (2010). Ischemic stroke: prevention of complications and secondary prevention. </w:t>
      </w:r>
      <w:r w:rsidRPr="005910A5">
        <w:rPr>
          <w:rFonts w:ascii="Times New Roman" w:hAnsi="Times New Roman" w:cs="Times New Roman"/>
          <w:i/>
          <w:iCs/>
          <w:color w:val="303030"/>
          <w:sz w:val="24"/>
          <w:szCs w:val="24"/>
          <w:shd w:val="clear" w:color="auto" w:fill="FFFFFF"/>
        </w:rPr>
        <w:t>Missouri medicine</w:t>
      </w:r>
      <w:r w:rsidRPr="005910A5">
        <w:rPr>
          <w:rFonts w:ascii="Times New Roman" w:hAnsi="Times New Roman" w:cs="Times New Roman"/>
          <w:color w:val="303030"/>
          <w:sz w:val="24"/>
          <w:szCs w:val="24"/>
          <w:shd w:val="clear" w:color="auto" w:fill="FFFFFF"/>
        </w:rPr>
        <w:t>, </w:t>
      </w:r>
      <w:r w:rsidRPr="005910A5">
        <w:rPr>
          <w:rFonts w:ascii="Times New Roman" w:hAnsi="Times New Roman" w:cs="Times New Roman"/>
          <w:i/>
          <w:iCs/>
          <w:color w:val="303030"/>
          <w:sz w:val="24"/>
          <w:szCs w:val="24"/>
          <w:shd w:val="clear" w:color="auto" w:fill="FFFFFF"/>
        </w:rPr>
        <w:t>107</w:t>
      </w:r>
      <w:r w:rsidRPr="005910A5">
        <w:rPr>
          <w:rFonts w:ascii="Times New Roman" w:hAnsi="Times New Roman" w:cs="Times New Roman"/>
          <w:color w:val="303030"/>
          <w:sz w:val="24"/>
          <w:szCs w:val="24"/>
          <w:shd w:val="clear" w:color="auto" w:fill="FFFFFF"/>
        </w:rPr>
        <w:t>(6), 396–400.</w:t>
      </w:r>
    </w:p>
    <w:p w14:paraId="6F8DFA62" w14:textId="769B54CA" w:rsidR="00D80293" w:rsidRDefault="00D80293" w:rsidP="00545772">
      <w:pPr>
        <w:spacing w:line="480" w:lineRule="auto"/>
        <w:ind w:left="720" w:hanging="720"/>
        <w:rPr>
          <w:rFonts w:ascii="Times New Roman" w:hAnsi="Times New Roman" w:cs="Times New Roman"/>
          <w:sz w:val="24"/>
          <w:szCs w:val="24"/>
        </w:rPr>
      </w:pPr>
      <w:r w:rsidRPr="00413E59">
        <w:rPr>
          <w:rFonts w:ascii="Times New Roman" w:hAnsi="Times New Roman" w:cs="Times New Roman"/>
          <w:sz w:val="24"/>
          <w:szCs w:val="24"/>
        </w:rPr>
        <w:t xml:space="preserve">Ursavaş, F. E., Karayurt, Ö., &amp; İşeri, Ö. (2014). Nursing </w:t>
      </w:r>
      <w:r w:rsidR="00AC18D3" w:rsidRPr="00413E59">
        <w:rPr>
          <w:rFonts w:ascii="Times New Roman" w:hAnsi="Times New Roman" w:cs="Times New Roman"/>
          <w:sz w:val="24"/>
          <w:szCs w:val="24"/>
        </w:rPr>
        <w:t xml:space="preserve">approach based on </w:t>
      </w:r>
      <w:r w:rsidR="00B15194" w:rsidRPr="00413E59">
        <w:rPr>
          <w:rFonts w:ascii="Times New Roman" w:hAnsi="Times New Roman" w:cs="Times New Roman"/>
          <w:sz w:val="24"/>
          <w:szCs w:val="24"/>
        </w:rPr>
        <w:t>Roy</w:t>
      </w:r>
      <w:r w:rsidR="00AC18D3" w:rsidRPr="00413E59">
        <w:rPr>
          <w:rFonts w:ascii="Times New Roman" w:hAnsi="Times New Roman" w:cs="Times New Roman"/>
          <w:sz w:val="24"/>
          <w:szCs w:val="24"/>
        </w:rPr>
        <w:t xml:space="preserve"> </w:t>
      </w:r>
      <w:r w:rsidR="00B15194">
        <w:rPr>
          <w:rFonts w:ascii="Times New Roman" w:hAnsi="Times New Roman" w:cs="Times New Roman"/>
          <w:sz w:val="24"/>
          <w:szCs w:val="24"/>
        </w:rPr>
        <w:t>A</w:t>
      </w:r>
      <w:r w:rsidR="00AC18D3" w:rsidRPr="00413E59">
        <w:rPr>
          <w:rFonts w:ascii="Times New Roman" w:hAnsi="Times New Roman" w:cs="Times New Roman"/>
          <w:sz w:val="24"/>
          <w:szCs w:val="24"/>
        </w:rPr>
        <w:t xml:space="preserve">daptation </w:t>
      </w:r>
      <w:r w:rsidR="00B15194">
        <w:rPr>
          <w:rFonts w:ascii="Times New Roman" w:hAnsi="Times New Roman" w:cs="Times New Roman"/>
          <w:sz w:val="24"/>
          <w:szCs w:val="24"/>
        </w:rPr>
        <w:t>M</w:t>
      </w:r>
      <w:r w:rsidR="00AC18D3" w:rsidRPr="00413E59">
        <w:rPr>
          <w:rFonts w:ascii="Times New Roman" w:hAnsi="Times New Roman" w:cs="Times New Roman"/>
          <w:sz w:val="24"/>
          <w:szCs w:val="24"/>
        </w:rPr>
        <w:t>odel in a patient undergoing breast conserving surgery for breast cancer</w:t>
      </w:r>
      <w:r w:rsidRPr="00413E59">
        <w:rPr>
          <w:rFonts w:ascii="Times New Roman" w:hAnsi="Times New Roman" w:cs="Times New Roman"/>
          <w:sz w:val="24"/>
          <w:szCs w:val="24"/>
        </w:rPr>
        <w:t>. </w:t>
      </w:r>
      <w:r w:rsidRPr="00413E59">
        <w:rPr>
          <w:rFonts w:ascii="Times New Roman" w:hAnsi="Times New Roman" w:cs="Times New Roman"/>
          <w:i/>
          <w:iCs/>
          <w:sz w:val="24"/>
          <w:szCs w:val="24"/>
        </w:rPr>
        <w:t>The journal of breast health</w:t>
      </w:r>
      <w:r w:rsidRPr="00413E59">
        <w:rPr>
          <w:rFonts w:ascii="Times New Roman" w:hAnsi="Times New Roman" w:cs="Times New Roman"/>
          <w:sz w:val="24"/>
          <w:szCs w:val="24"/>
        </w:rPr>
        <w:t>, </w:t>
      </w:r>
      <w:r w:rsidRPr="00413E59">
        <w:rPr>
          <w:rFonts w:ascii="Times New Roman" w:hAnsi="Times New Roman" w:cs="Times New Roman"/>
          <w:i/>
          <w:iCs/>
          <w:sz w:val="24"/>
          <w:szCs w:val="24"/>
        </w:rPr>
        <w:t>10</w:t>
      </w:r>
      <w:r w:rsidRPr="00413E59">
        <w:rPr>
          <w:rFonts w:ascii="Times New Roman" w:hAnsi="Times New Roman" w:cs="Times New Roman"/>
          <w:sz w:val="24"/>
          <w:szCs w:val="24"/>
        </w:rPr>
        <w:t>(3), 134</w:t>
      </w:r>
      <w:r>
        <w:rPr>
          <w:rFonts w:ascii="Times New Roman" w:hAnsi="Times New Roman" w:cs="Times New Roman"/>
          <w:sz w:val="24"/>
          <w:szCs w:val="24"/>
        </w:rPr>
        <w:t>-</w:t>
      </w:r>
      <w:r w:rsidRPr="00413E59">
        <w:rPr>
          <w:rFonts w:ascii="Times New Roman" w:hAnsi="Times New Roman" w:cs="Times New Roman"/>
          <w:sz w:val="24"/>
          <w:szCs w:val="24"/>
        </w:rPr>
        <w:t xml:space="preserve">140. </w:t>
      </w:r>
      <w:hyperlink r:id="rId7" w:history="1">
        <w:r w:rsidRPr="00413E59">
          <w:rPr>
            <w:rStyle w:val="Hyperlink"/>
            <w:rFonts w:ascii="Times New Roman" w:hAnsi="Times New Roman" w:cs="Times New Roman"/>
            <w:sz w:val="24"/>
            <w:szCs w:val="24"/>
          </w:rPr>
          <w:t>https://doi.org/10.5152/tjbh.2014.1910</w:t>
        </w:r>
      </w:hyperlink>
    </w:p>
    <w:p w14:paraId="34CB7AB0" w14:textId="77777777" w:rsidR="00D80293" w:rsidRPr="00413E59" w:rsidRDefault="00D80293" w:rsidP="00545772">
      <w:pPr>
        <w:spacing w:line="480" w:lineRule="auto"/>
        <w:ind w:left="720" w:hanging="720"/>
        <w:rPr>
          <w:rFonts w:ascii="Times New Roman" w:hAnsi="Times New Roman" w:cs="Times New Roman"/>
          <w:sz w:val="24"/>
          <w:szCs w:val="24"/>
        </w:rPr>
      </w:pPr>
      <w:r w:rsidRPr="00413E59">
        <w:rPr>
          <w:rFonts w:ascii="Times New Roman" w:hAnsi="Times New Roman" w:cs="Times New Roman"/>
          <w:sz w:val="24"/>
          <w:szCs w:val="24"/>
        </w:rPr>
        <w:t xml:space="preserve">Worral, P. (2018). Evaluation in Healthcare Education. </w:t>
      </w:r>
      <w:hyperlink r:id="rId8" w:history="1">
        <w:r w:rsidRPr="00413E59">
          <w:rPr>
            <w:rStyle w:val="Hyperlink"/>
            <w:rFonts w:ascii="Times New Roman" w:hAnsi="Times New Roman" w:cs="Times New Roman"/>
            <w:sz w:val="24"/>
            <w:szCs w:val="24"/>
          </w:rPr>
          <w:t>http://www.ifeet.org/files/TBL-2-May-8,-2018-Evaluation-in-Health-Care-Education.pdf</w:t>
        </w:r>
      </w:hyperlink>
    </w:p>
    <w:sectPr w:rsidR="00D80293" w:rsidRPr="00413E59" w:rsidSect="00D2264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32C9F" w14:textId="77777777" w:rsidR="00FD0E39" w:rsidRDefault="00FD0E39" w:rsidP="00413E59">
      <w:pPr>
        <w:spacing w:after="0" w:line="240" w:lineRule="auto"/>
      </w:pPr>
      <w:r>
        <w:separator/>
      </w:r>
    </w:p>
  </w:endnote>
  <w:endnote w:type="continuationSeparator" w:id="0">
    <w:p w14:paraId="1628C0CB" w14:textId="77777777" w:rsidR="00FD0E39" w:rsidRDefault="00FD0E39" w:rsidP="0041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7D566" w14:textId="77777777" w:rsidR="00FD0E39" w:rsidRDefault="00FD0E39" w:rsidP="00413E59">
      <w:pPr>
        <w:spacing w:after="0" w:line="240" w:lineRule="auto"/>
      </w:pPr>
      <w:r>
        <w:separator/>
      </w:r>
    </w:p>
  </w:footnote>
  <w:footnote w:type="continuationSeparator" w:id="0">
    <w:p w14:paraId="5E54AD81" w14:textId="77777777" w:rsidR="00FD0E39" w:rsidRDefault="00FD0E39" w:rsidP="00413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36161807"/>
      <w:docPartObj>
        <w:docPartGallery w:val="Page Numbers (Top of Page)"/>
        <w:docPartUnique/>
      </w:docPartObj>
    </w:sdtPr>
    <w:sdtEndPr>
      <w:rPr>
        <w:noProof/>
      </w:rPr>
    </w:sdtEndPr>
    <w:sdtContent>
      <w:p w14:paraId="56AA60B9" w14:textId="44B02ED7" w:rsidR="00413E59" w:rsidRPr="00D2264B" w:rsidRDefault="00D2264B" w:rsidP="00D2264B">
        <w:pPr>
          <w:pStyle w:val="Header"/>
          <w:jc w:val="right"/>
          <w:rPr>
            <w:rFonts w:ascii="Times New Roman" w:hAnsi="Times New Roman" w:cs="Times New Roman"/>
            <w:sz w:val="24"/>
            <w:szCs w:val="24"/>
          </w:rPr>
        </w:pPr>
        <w:r w:rsidRPr="00D2264B">
          <w:rPr>
            <w:rFonts w:ascii="Times New Roman" w:hAnsi="Times New Roman" w:cs="Times New Roman"/>
            <w:sz w:val="24"/>
            <w:szCs w:val="24"/>
          </w:rPr>
          <w:fldChar w:fldCharType="begin"/>
        </w:r>
        <w:r w:rsidRPr="00D2264B">
          <w:rPr>
            <w:rFonts w:ascii="Times New Roman" w:hAnsi="Times New Roman" w:cs="Times New Roman"/>
            <w:sz w:val="24"/>
            <w:szCs w:val="24"/>
          </w:rPr>
          <w:instrText xml:space="preserve"> PAGE   \* MERGEFORMAT </w:instrText>
        </w:r>
        <w:r w:rsidRPr="00D2264B">
          <w:rPr>
            <w:rFonts w:ascii="Times New Roman" w:hAnsi="Times New Roman" w:cs="Times New Roman"/>
            <w:sz w:val="24"/>
            <w:szCs w:val="24"/>
          </w:rPr>
          <w:fldChar w:fldCharType="separate"/>
        </w:r>
        <w:r w:rsidR="005910A5">
          <w:rPr>
            <w:rFonts w:ascii="Times New Roman" w:hAnsi="Times New Roman" w:cs="Times New Roman"/>
            <w:noProof/>
            <w:sz w:val="24"/>
            <w:szCs w:val="24"/>
          </w:rPr>
          <w:t>4</w:t>
        </w:r>
        <w:r w:rsidRPr="00D2264B">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0szCxsDA3NTK0tDRX0lEKTi0uzszPAykwrgUA6ugZHSwAAAA="/>
  </w:docVars>
  <w:rsids>
    <w:rsidRoot w:val="00413E59"/>
    <w:rsid w:val="000447FE"/>
    <w:rsid w:val="00114039"/>
    <w:rsid w:val="00413E59"/>
    <w:rsid w:val="004C15E9"/>
    <w:rsid w:val="0053080A"/>
    <w:rsid w:val="00545772"/>
    <w:rsid w:val="005910A5"/>
    <w:rsid w:val="0066401F"/>
    <w:rsid w:val="006D5E1C"/>
    <w:rsid w:val="00764ABD"/>
    <w:rsid w:val="007A7EB7"/>
    <w:rsid w:val="00AC18D3"/>
    <w:rsid w:val="00B15194"/>
    <w:rsid w:val="00B23BDA"/>
    <w:rsid w:val="00BC4F4A"/>
    <w:rsid w:val="00D2264B"/>
    <w:rsid w:val="00D80293"/>
    <w:rsid w:val="00DF4256"/>
    <w:rsid w:val="00ED026A"/>
    <w:rsid w:val="00EF23B4"/>
    <w:rsid w:val="00F42D37"/>
    <w:rsid w:val="00FC39E6"/>
    <w:rsid w:val="00FD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5DBA"/>
  <w15:docId w15:val="{4D226031-6335-4567-8BF2-22979A21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E59"/>
    <w:rPr>
      <w:color w:val="0563C1" w:themeColor="hyperlink"/>
      <w:u w:val="single"/>
    </w:rPr>
  </w:style>
  <w:style w:type="character" w:customStyle="1" w:styleId="UnresolvedMention1">
    <w:name w:val="Unresolved Mention1"/>
    <w:basedOn w:val="DefaultParagraphFont"/>
    <w:uiPriority w:val="99"/>
    <w:semiHidden/>
    <w:unhideWhenUsed/>
    <w:rsid w:val="00413E59"/>
    <w:rPr>
      <w:color w:val="605E5C"/>
      <w:shd w:val="clear" w:color="auto" w:fill="E1DFDD"/>
    </w:rPr>
  </w:style>
  <w:style w:type="paragraph" w:styleId="Header">
    <w:name w:val="header"/>
    <w:basedOn w:val="Normal"/>
    <w:link w:val="HeaderChar"/>
    <w:uiPriority w:val="99"/>
    <w:unhideWhenUsed/>
    <w:rsid w:val="00413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E59"/>
  </w:style>
  <w:style w:type="paragraph" w:styleId="Footer">
    <w:name w:val="footer"/>
    <w:basedOn w:val="Normal"/>
    <w:link w:val="FooterChar"/>
    <w:uiPriority w:val="99"/>
    <w:unhideWhenUsed/>
    <w:rsid w:val="00413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eet.org/files/TBL-2-May-8,-2018-Evaluation-in-Health-Care-Education.pdf" TargetMode="External"/><Relationship Id="rId3" Type="http://schemas.openxmlformats.org/officeDocument/2006/relationships/webSettings" Target="webSettings.xml"/><Relationship Id="rId7" Type="http://schemas.openxmlformats.org/officeDocument/2006/relationships/hyperlink" Target="https://doi.org/10.5152/tjbh.2014.19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860/JCDR/2017/28197.994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Antony Ouma</cp:lastModifiedBy>
  <cp:revision>3</cp:revision>
  <dcterms:created xsi:type="dcterms:W3CDTF">2021-02-17T00:59:00Z</dcterms:created>
  <dcterms:modified xsi:type="dcterms:W3CDTF">2021-02-17T01:04:00Z</dcterms:modified>
</cp:coreProperties>
</file>